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9528" w14:textId="7B17BCAE" w:rsidR="004860F8" w:rsidRPr="00C70D36" w:rsidRDefault="0059362D" w:rsidP="00105385">
      <w:pPr>
        <w:pStyle w:val="a5"/>
        <w:jc w:val="both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C70D36">
        <w:rPr>
          <w:rFonts w:ascii="Times New Roman" w:hAnsi="Times New Roman"/>
          <w:i/>
          <w:color w:val="FF0000"/>
          <w:sz w:val="24"/>
          <w:szCs w:val="24"/>
          <w:lang w:val="kk"/>
        </w:rPr>
        <w:t>8-Қосымша 26.12.2023ж. №37 Қордың Директорлар кеңесінің шешіміне сәйкес редакцияда жазылған (2024 жылдың 1 қаңтарынан бастап күшіне енеді)</w:t>
      </w:r>
      <w:r w:rsidR="004860F8" w:rsidRPr="00C70D36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; 10.05.2024ж. №11 Қордың Директорлар кеңесінің шешіміне сәйкес редакцияда жазылған (2024 жылдың 10 мамырынан бастап күшіне </w:t>
      </w:r>
      <w:r w:rsidR="004860F8" w:rsidRPr="00105385">
        <w:rPr>
          <w:rFonts w:ascii="Times New Roman" w:hAnsi="Times New Roman"/>
          <w:i/>
          <w:color w:val="FF0000"/>
          <w:sz w:val="24"/>
          <w:szCs w:val="24"/>
          <w:lang w:val="kk"/>
        </w:rPr>
        <w:t>енеді)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"/>
        </w:rPr>
        <w:t>,</w:t>
      </w:r>
      <w:r w:rsidR="00A87559" w:rsidRPr="00105385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</w:t>
      </w:r>
      <w:r w:rsidR="00105385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>14.02.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2025ж. 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</w:rPr>
        <w:t>№2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шешіміне сәйкес өзгерістер енгізілді </w:t>
      </w:r>
      <w:r w:rsidR="00A87559" w:rsidRPr="00105385">
        <w:rPr>
          <w:rFonts w:ascii="Times New Roman" w:hAnsi="Times New Roman"/>
          <w:i/>
          <w:color w:val="FF0000"/>
          <w:sz w:val="24"/>
          <w:szCs w:val="24"/>
          <w:lang w:val="kk"/>
        </w:rPr>
        <w:t>(2025 жылдың 1 сәуірінен бастап күшіне енеді)</w:t>
      </w:r>
    </w:p>
    <w:p w14:paraId="3B39E297" w14:textId="6C9102CF" w:rsidR="0059362D" w:rsidRPr="00610BBB" w:rsidRDefault="0059362D" w:rsidP="0059362D">
      <w:pPr>
        <w:pStyle w:val="a3"/>
        <w:ind w:left="0"/>
        <w:jc w:val="both"/>
        <w:rPr>
          <w:i/>
          <w:color w:val="FF0000"/>
          <w:sz w:val="22"/>
          <w:szCs w:val="22"/>
          <w:lang w:val="kk-KZ"/>
        </w:rPr>
      </w:pPr>
    </w:p>
    <w:p w14:paraId="27AE75DB" w14:textId="77777777" w:rsidR="00B22A1D" w:rsidRPr="00610BBB" w:rsidRDefault="00B22A1D" w:rsidP="00B22A1D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>«Қазақстанның депозиттерге кепілдік беру қоры» АҚ Директорлар кеңесінің 2021 жылғы 09 шілдедегі № 18 шешімімен бекітілген, Міндетті күнтізбелік, қосымша және төтенше жарналардың мөлшерін және төлеу тәртібін анықтау ережелерінің</w:t>
      </w:r>
    </w:p>
    <w:p w14:paraId="6AEC2162" w14:textId="77777777" w:rsidR="00B22A1D" w:rsidRPr="00610BBB" w:rsidRDefault="00B22A1D" w:rsidP="00B22A1D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 xml:space="preserve">8-Қосымшасы </w:t>
      </w:r>
    </w:p>
    <w:p w14:paraId="7FC989BC" w14:textId="77777777" w:rsidR="00B22A1D" w:rsidRPr="00610BBB" w:rsidRDefault="00B22A1D" w:rsidP="00B22A1D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</w:p>
    <w:p w14:paraId="71B5E91B" w14:textId="77777777" w:rsidR="00B22A1D" w:rsidRPr="00610BBB" w:rsidRDefault="00B22A1D" w:rsidP="00B22A1D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color w:val="000000"/>
          <w:sz w:val="24"/>
          <w:szCs w:val="24"/>
          <w:lang w:val="kk-KZ"/>
        </w:rPr>
        <w:t xml:space="preserve">Нысан </w:t>
      </w:r>
    </w:p>
    <w:p w14:paraId="6ABC9BBB" w14:textId="1F3396CF" w:rsidR="00B22A1D" w:rsidRPr="00610BBB" w:rsidRDefault="00B22A1D" w:rsidP="00C70D36">
      <w:pPr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Жүйелік тәуекел үшін төленетін жарна мөлшері </w:t>
      </w:r>
      <w:r w:rsidR="00C70D3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және шекті мөлшерлемеден асып түскені үшін төленетін </w:t>
      </w:r>
      <w:r w:rsidR="00105385" w:rsidRPr="00105385">
        <w:rPr>
          <w:rFonts w:ascii="Times New Roman" w:hAnsi="Times New Roman"/>
          <w:b/>
          <w:bCs/>
          <w:sz w:val="24"/>
          <w:szCs w:val="24"/>
          <w:lang w:val="kk-KZ"/>
        </w:rPr>
        <w:t>жоғарылатылған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70D3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жарнаның мөлшері </w:t>
      </w:r>
      <w:r w:rsidRPr="00610BBB">
        <w:rPr>
          <w:rFonts w:ascii="Times New Roman" w:hAnsi="Times New Roman"/>
          <w:b/>
          <w:color w:val="000000"/>
          <w:sz w:val="24"/>
          <w:szCs w:val="24"/>
          <w:lang w:val="kk-KZ"/>
        </w:rPr>
        <w:t>туралы хабарлама</w:t>
      </w:r>
    </w:p>
    <w:p w14:paraId="60AF3690" w14:textId="77777777" w:rsidR="00B22A1D" w:rsidRPr="00610BBB" w:rsidRDefault="00B22A1D" w:rsidP="00B22A1D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________________________ жылдың _____ _____________үшін  </w:t>
      </w:r>
    </w:p>
    <w:p w14:paraId="3CCD2627" w14:textId="77777777" w:rsidR="00B22A1D" w:rsidRPr="00610BBB" w:rsidRDefault="00B22A1D" w:rsidP="00B22A1D">
      <w:pPr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0BBB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қатысушы банктің атауы)                                (ай)</w:t>
      </w:r>
    </w:p>
    <w:tbl>
      <w:tblPr>
        <w:tblW w:w="10207" w:type="dxa"/>
        <w:tblInd w:w="-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5"/>
        <w:gridCol w:w="1181"/>
        <w:gridCol w:w="1417"/>
        <w:gridCol w:w="1418"/>
        <w:gridCol w:w="1276"/>
        <w:gridCol w:w="1417"/>
        <w:gridCol w:w="709"/>
        <w:gridCol w:w="1134"/>
      </w:tblGrid>
      <w:tr w:rsidR="00C70D36" w:rsidRPr="00A87559" w14:paraId="5075851B" w14:textId="26EAA9EA" w:rsidTr="00C70D36">
        <w:trPr>
          <w:trHeight w:val="968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4C71E7" w14:textId="5A8F3BB2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Салымның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тобы</w:t>
            </w: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A69E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Банктің тарту мөлшерлемесі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7ED4D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Банктің тарту көлемі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теңгемен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7798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Нарық бойынша  жиынтық тарту көлемі, теңгемен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BE348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Нарықтық мөлшерлеме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F18B2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Жүйелік тәуекел үшін төленетін жарна, теңгемен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B2EE75" w14:textId="77777777" w:rsidR="00C70D36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Шекті мөлшерлеме,</w:t>
            </w:r>
          </w:p>
          <w:p w14:paraId="4F8263FA" w14:textId="2F72B295" w:rsidR="00C70D36" w:rsidRPr="00C70D36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31E3C" w14:textId="791B3F8C" w:rsidR="00C70D36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Теңгедегі </w:t>
            </w:r>
            <w:r w:rsidR="00105385" w:rsidRPr="00B774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жоғарылатылған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жарна</w:t>
            </w:r>
          </w:p>
          <w:p w14:paraId="138535C6" w14:textId="037B6AF6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0086D28A" w14:textId="786CB682" w:rsidTr="00C70D36">
        <w:trPr>
          <w:trHeight w:val="293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804063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2FF2B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73C8FF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2B733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6B1431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F26E86" w14:textId="77777777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6 = </w:t>
            </w: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b*3*(2-</w:t>
            </w:r>
            <w:r w:rsidRPr="00610BBB">
              <w:rPr>
                <w:rFonts w:ascii="Times New Roman" w:hAnsi="Times New Roman"/>
                <w:sz w:val="24"/>
                <w:szCs w:val="24"/>
              </w:rPr>
              <w:t>5</w:t>
            </w:r>
            <w:r w:rsidRPr="00610BB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6BF63" w14:textId="6752C0C0" w:rsidR="00C70D36" w:rsidRPr="00C70D36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2814C" w14:textId="4E0CF8A4" w:rsidR="00C70D36" w:rsidRPr="00610BBB" w:rsidRDefault="00C70D36" w:rsidP="00C70D3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B90">
              <w:rPr>
                <w:rFonts w:ascii="Times New Roman" w:hAnsi="Times New Roman"/>
              </w:rPr>
              <w:t>8 = k*3*(2-7)</w:t>
            </w:r>
          </w:p>
        </w:tc>
      </w:tr>
      <w:tr w:rsidR="00C70D36" w:rsidRPr="00610BBB" w14:paraId="2C74913B" w14:textId="5E474C59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47B30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мерзімсіз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BE48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6B750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445E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BBFD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EC333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4140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8E96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4E8F0B32" w14:textId="382E9338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F4414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толықтыру құқығы жоқ мерзімді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9072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142C2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E848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5DDC1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D25EE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097C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2A8C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7AE8289E" w14:textId="45A1C78A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AD6A1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0-1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C920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0C13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5F9A5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B044A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B47C1F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DF07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0CCA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6DCD16D8" w14:textId="0468F6FF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6B2F1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1-6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A11D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8C584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455F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02D65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E4EFB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FC72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8489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D36" w:rsidRPr="00610BBB" w14:paraId="154D2B29" w14:textId="0964916F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F254B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6-12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A951F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B9537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37F3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F4B81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478F3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2631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2C0FF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7FE68F2A" w14:textId="1F6E2D63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7D8E0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12-24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D622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6A547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3665B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E80DB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6229B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F9AF2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FE5B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31245886" w14:textId="22AD5509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0F480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 айдан жоғары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4BF61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2B876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627C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5FC67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04DBBA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15F9C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3F7C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33C1A72F" w14:textId="2365B8BB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64CD4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толықтыру құқығы бар мерзімді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23999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C7572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70FD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D880E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D6F6A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F10E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6CA83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6A9F11A5" w14:textId="337D1381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377E3B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0-1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F2743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60AF6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35EB5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9167A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425AB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63B1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61FC1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0862EA4D" w14:textId="2A10584B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74C7D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1-6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2BE2B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E673A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EEB29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453EAB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81DF5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C28F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8049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01B63DF9" w14:textId="447522C5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C3349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t xml:space="preserve">6-12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5233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E44B05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1EE37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08642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F720E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DF6F6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3BA7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1966838B" w14:textId="5BD4DAA4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743D4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12-24 </w:t>
            </w: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F424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7F8AB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898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0989B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9F43A1F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AB38E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D4B201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0D36" w:rsidRPr="00610BBB" w14:paraId="1798AB3E" w14:textId="6DBD7D78" w:rsidTr="00C70D36">
        <w:trPr>
          <w:trHeight w:val="322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11B8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sz w:val="24"/>
                <w:szCs w:val="24"/>
                <w:lang w:val="kk-KZ"/>
              </w:rPr>
              <w:t>24 айдан жоғары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9CE1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03AC68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F9F52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3E1429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983793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6E992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834B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D36" w:rsidRPr="00610BBB" w14:paraId="40659CDB" w14:textId="5CFEA30D" w:rsidTr="00C70D36">
        <w:trPr>
          <w:trHeight w:val="335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EE1CC6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B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Қорытынды</w:t>
            </w:r>
            <w:r w:rsidRPr="00610BBB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D2BB1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5F1434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6DBFD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827597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E6054A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DBFAE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20570" w14:textId="77777777" w:rsidR="00C70D36" w:rsidRPr="00610BBB" w:rsidRDefault="00C70D36" w:rsidP="005918B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B71A426" w14:textId="3623A279" w:rsidR="00D57908" w:rsidRPr="00610BBB" w:rsidRDefault="00B22A1D" w:rsidP="00F23AB0">
      <w:pPr>
        <w:tabs>
          <w:tab w:val="left" w:pos="993"/>
        </w:tabs>
        <w:autoSpaceDE w:val="0"/>
        <w:autoSpaceDN w:val="0"/>
        <w:adjustRightInd w:val="0"/>
        <w:spacing w:after="0"/>
        <w:ind w:left="-284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</w:rPr>
        <w:t xml:space="preserve">* </w:t>
      </w:r>
      <w:r w:rsidRPr="00610BBB">
        <w:rPr>
          <w:rFonts w:ascii="Times New Roman" w:hAnsi="Times New Roman"/>
          <w:sz w:val="24"/>
          <w:szCs w:val="24"/>
          <w:lang w:val="kk-KZ"/>
        </w:rPr>
        <w:t>Егер есепті тоқсанның үшінші айының бірінші күніне дейінгі үш ай бойынша</w:t>
      </w:r>
      <w:r w:rsidR="00D57908" w:rsidRPr="0061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жүйелік тәуекел үшін төленетін жарна </w:t>
      </w:r>
      <w:r w:rsidR="00C70D36"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C70D36">
        <w:rPr>
          <w:rFonts w:ascii="Times New Roman" w:hAnsi="Times New Roman"/>
          <w:sz w:val="24"/>
          <w:szCs w:val="24"/>
          <w:lang w:val="kk-KZ"/>
        </w:rPr>
        <w:t>жарна сомасы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14:paraId="40CEC33C" w14:textId="3EB59419" w:rsidR="00D57908" w:rsidRPr="00610BBB" w:rsidRDefault="00B22A1D" w:rsidP="00F23AB0">
      <w:pPr>
        <w:tabs>
          <w:tab w:val="left" w:pos="993"/>
        </w:tabs>
        <w:autoSpaceDE w:val="0"/>
        <w:autoSpaceDN w:val="0"/>
        <w:adjustRightInd w:val="0"/>
        <w:spacing w:after="0"/>
        <w:ind w:left="-284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 xml:space="preserve">оң мәнге ие болса, онда жүйелік тәуекел үшін төленетін жарна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жарна сомасы </w:t>
      </w:r>
      <w:r w:rsidRPr="00610BBB">
        <w:rPr>
          <w:rFonts w:ascii="Times New Roman" w:hAnsi="Times New Roman"/>
          <w:sz w:val="24"/>
          <w:szCs w:val="24"/>
          <w:lang w:val="kk-KZ"/>
        </w:rPr>
        <w:t>қатысушы банктің жіктеу тобына сәйкес анықталған</w:t>
      </w:r>
      <w:r w:rsidR="00123DF6">
        <w:rPr>
          <w:rFonts w:ascii="Times New Roman" w:hAnsi="Times New Roman"/>
          <w:sz w:val="24"/>
          <w:szCs w:val="24"/>
          <w:lang w:val="kk-KZ"/>
        </w:rPr>
        <w:t>,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кредиттік тәуекел үшін төленетін 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жарнасына қосылады; </w:t>
      </w:r>
    </w:p>
    <w:p w14:paraId="28830308" w14:textId="17F8D6EA" w:rsidR="00B22A1D" w:rsidRPr="00DD2000" w:rsidRDefault="00B22A1D" w:rsidP="00F23AB0">
      <w:pPr>
        <w:tabs>
          <w:tab w:val="left" w:pos="993"/>
        </w:tabs>
        <w:autoSpaceDE w:val="0"/>
        <w:autoSpaceDN w:val="0"/>
        <w:adjustRightInd w:val="0"/>
        <w:spacing w:after="0"/>
        <w:ind w:left="-284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610BBB">
        <w:rPr>
          <w:rFonts w:ascii="Times New Roman" w:hAnsi="Times New Roman"/>
          <w:sz w:val="24"/>
          <w:szCs w:val="24"/>
          <w:lang w:val="kk-KZ"/>
        </w:rPr>
        <w:t xml:space="preserve">егер теріс мәнге ие болса, онда жүйелік тәуекел үшін төленетін жарна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="00105385" w:rsidRPr="00B77485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жарна сомасы </w:t>
      </w:r>
      <w:r w:rsidRPr="00610BBB">
        <w:rPr>
          <w:rFonts w:ascii="Times New Roman" w:hAnsi="Times New Roman"/>
          <w:sz w:val="24"/>
          <w:szCs w:val="24"/>
          <w:lang w:val="kk-KZ"/>
        </w:rPr>
        <w:t>қатысушы банктің жіктеу тобына сәйкес анықталған</w:t>
      </w:r>
      <w:r w:rsidR="00123DF6">
        <w:rPr>
          <w:rFonts w:ascii="Times New Roman" w:hAnsi="Times New Roman"/>
          <w:sz w:val="24"/>
          <w:szCs w:val="24"/>
          <w:lang w:val="kk-KZ"/>
        </w:rPr>
        <w:t>,</w:t>
      </w:r>
      <w:r w:rsidRPr="0061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23DF6">
        <w:rPr>
          <w:rFonts w:ascii="Times New Roman" w:hAnsi="Times New Roman"/>
          <w:sz w:val="24"/>
          <w:szCs w:val="24"/>
          <w:lang w:val="kk-KZ"/>
        </w:rPr>
        <w:t xml:space="preserve">кредиттік тәуекел үшін төленетін </w:t>
      </w:r>
      <w:r w:rsidR="00105385" w:rsidRPr="00105385">
        <w:rPr>
          <w:rFonts w:ascii="Times New Roman" w:hAnsi="Times New Roman"/>
          <w:sz w:val="24"/>
          <w:szCs w:val="24"/>
          <w:lang w:val="kk-KZ"/>
        </w:rPr>
        <w:t xml:space="preserve">жарна сомасынан </w:t>
      </w:r>
      <w:r w:rsidRPr="00610BBB">
        <w:rPr>
          <w:rFonts w:ascii="Times New Roman" w:hAnsi="Times New Roman"/>
          <w:sz w:val="24"/>
          <w:szCs w:val="24"/>
          <w:lang w:val="kk-KZ"/>
        </w:rPr>
        <w:t>шегеріліп тасталады. Егер шегеріліп тасталғаннан кейін теріс мән қалыптасса, онда бұл сома қатысушы банктің жарналары бойынша алдағы уақыттағы төлемдерінің есебі үшін есепке алынады.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</w:p>
    <w:p w14:paraId="45181B21" w14:textId="77777777" w:rsidR="001941C3" w:rsidRPr="00B22A1D" w:rsidRDefault="00F23AB0">
      <w:pPr>
        <w:rPr>
          <w:lang w:val="kk-KZ"/>
        </w:rPr>
      </w:pPr>
    </w:p>
    <w:sectPr w:rsidR="001941C3" w:rsidRPr="00B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1D"/>
    <w:rsid w:val="00105385"/>
    <w:rsid w:val="00123DF6"/>
    <w:rsid w:val="004128DF"/>
    <w:rsid w:val="004860F8"/>
    <w:rsid w:val="0059362D"/>
    <w:rsid w:val="00610BBB"/>
    <w:rsid w:val="009D0A17"/>
    <w:rsid w:val="00A87559"/>
    <w:rsid w:val="00B22A1D"/>
    <w:rsid w:val="00B535BA"/>
    <w:rsid w:val="00BE3149"/>
    <w:rsid w:val="00C07571"/>
    <w:rsid w:val="00C26383"/>
    <w:rsid w:val="00C70D36"/>
    <w:rsid w:val="00D052E3"/>
    <w:rsid w:val="00D57908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0F6A"/>
  <w15:chartTrackingRefBased/>
  <w15:docId w15:val="{9C8161F8-DD45-4B45-BF1E-EF667576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A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7571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0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75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10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 Акенова</dc:creator>
  <cp:keywords/>
  <dc:description/>
  <cp:lastModifiedBy>Гибадат Ивановская</cp:lastModifiedBy>
  <cp:revision>17</cp:revision>
  <dcterms:created xsi:type="dcterms:W3CDTF">2023-12-29T07:01:00Z</dcterms:created>
  <dcterms:modified xsi:type="dcterms:W3CDTF">2025-03-28T13:45:00Z</dcterms:modified>
</cp:coreProperties>
</file>